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03" w:rsidRPr="00AB6093" w:rsidRDefault="00800D03" w:rsidP="00AB6093">
      <w:pPr>
        <w:rPr>
          <w:rFonts w:ascii="Times New Roman" w:hAnsi="Times New Roman"/>
          <w:sz w:val="24"/>
          <w:szCs w:val="24"/>
          <w:lang w:val="uk-UA"/>
        </w:rPr>
      </w:pPr>
      <w:r w:rsidRPr="002100CA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9594CBB" wp14:editId="11E15EC7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D03" w:rsidRPr="002100CA" w:rsidRDefault="00800D03" w:rsidP="00800D03"/>
    <w:p w:rsidR="00800D03" w:rsidRDefault="00800D03" w:rsidP="00800D03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 w:rsidRPr="00800D03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 </w:t>
      </w:r>
    </w:p>
    <w:p w:rsidR="00800D03" w:rsidRDefault="00800D03" w:rsidP="00800D03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800D03" w:rsidRDefault="00800D03" w:rsidP="00800D0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800D03" w:rsidRDefault="00800D03" w:rsidP="00800D0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800D03" w:rsidRDefault="00800D03" w:rsidP="00800D03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800D03" w:rsidRDefault="00800D03" w:rsidP="00800D03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800D03" w:rsidRDefault="00800D03" w:rsidP="00800D03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800D03" w:rsidRPr="00F26E82" w:rsidRDefault="00800D03" w:rsidP="00800D03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 </w:t>
      </w:r>
      <w:r w:rsidRPr="00A808C3">
        <w:rPr>
          <w:rFonts w:ascii="Times New Roman" w:eastAsia="Times New Roman" w:hAnsi="Times New Roman"/>
          <w:bCs/>
          <w:sz w:val="28"/>
          <w:szCs w:val="28"/>
          <w:u w:val="single"/>
        </w:rPr>
        <w:t>17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Pr="00A808C3">
        <w:rPr>
          <w:rFonts w:ascii="Times New Roman" w:eastAsia="Times New Roman" w:hAnsi="Times New Roman"/>
          <w:bCs/>
          <w:sz w:val="28"/>
          <w:szCs w:val="28"/>
          <w:u w:val="single"/>
        </w:rPr>
        <w:t>2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.2020   № </w:t>
      </w:r>
      <w:r w:rsidR="006854D9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197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800D03" w:rsidRPr="00F26E82" w:rsidTr="00800D03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0D03" w:rsidRDefault="00800D0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800D03" w:rsidRPr="00F26E82" w:rsidTr="00800D03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00D03" w:rsidRDefault="00800D0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26E82" w:rsidRDefault="00800D03" w:rsidP="00F26E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</w:t>
      </w:r>
      <w:r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 xml:space="preserve"> ст.ст.</w:t>
      </w:r>
      <w:r>
        <w:rPr>
          <w:rFonts w:ascii="Times New Roman" w:eastAsia="Times New Roman" w:hAnsi="Times New Roman"/>
          <w:sz w:val="28"/>
          <w:szCs w:val="28"/>
          <w:lang w:val="uk-UA"/>
        </w:rPr>
        <w:t>29, 31, 41, 6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>7, 68, 202, п.6 ст. 203, ст.ст.</w:t>
      </w:r>
      <w:r>
        <w:rPr>
          <w:rFonts w:ascii="Times New Roman" w:eastAsia="Times New Roman" w:hAnsi="Times New Roman"/>
          <w:sz w:val="28"/>
          <w:szCs w:val="28"/>
          <w:lang w:val="uk-UA"/>
        </w:rPr>
        <w:t>208, 210, 237, 238, 239, 242 Цив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>ільного кодексу України, ст.ст.</w:t>
      </w:r>
      <w:r>
        <w:rPr>
          <w:rFonts w:ascii="Times New Roman" w:eastAsia="Times New Roman" w:hAnsi="Times New Roman"/>
          <w:sz w:val="28"/>
          <w:szCs w:val="28"/>
          <w:lang w:val="uk-UA"/>
        </w:rPr>
        <w:t>177, 176 Сімейного кодексу Украї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>ни, ст.ст.</w:t>
      </w:r>
      <w:r>
        <w:rPr>
          <w:rFonts w:ascii="Times New Roman" w:eastAsia="Times New Roman" w:hAnsi="Times New Roman"/>
          <w:sz w:val="28"/>
          <w:szCs w:val="28"/>
          <w:lang w:val="uk-UA"/>
        </w:rPr>
        <w:t>17, 18 Закону Украї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>ни «Про охорону дитинства», ст.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</w:t>
      </w:r>
    </w:p>
    <w:p w:rsidR="00F26E82" w:rsidRDefault="00F26E82" w:rsidP="00F26E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00D03" w:rsidRDefault="00800D03" w:rsidP="00F26E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F26E82" w:rsidRPr="00F26E82" w:rsidRDefault="00F26E82" w:rsidP="00F26E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26E82" w:rsidRDefault="00800D03" w:rsidP="00F26E8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F26E82">
        <w:rPr>
          <w:rFonts w:ascii="Times New Roman" w:eastAsia="Times New Roman" w:hAnsi="Times New Roman"/>
          <w:sz w:val="28"/>
          <w:szCs w:val="28"/>
          <w:lang w:val="uk-UA"/>
        </w:rPr>
        <w:t>Дати дозвіл</w:t>
      </w:r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неповнолітньому </w:t>
      </w:r>
      <w:proofErr w:type="spellStart"/>
      <w:r w:rsidRPr="00F26E82">
        <w:rPr>
          <w:rFonts w:ascii="Times New Roman" w:eastAsia="Times New Roman" w:hAnsi="Times New Roman"/>
          <w:sz w:val="28"/>
          <w:szCs w:val="28"/>
          <w:lang w:val="uk-UA"/>
        </w:rPr>
        <w:t>Гостіну</w:t>
      </w:r>
      <w:proofErr w:type="spellEnd"/>
      <w:r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F26E82">
        <w:rPr>
          <w:rFonts w:ascii="Times New Roman" w:eastAsia="Times New Roman" w:hAnsi="Times New Roman"/>
          <w:sz w:val="28"/>
          <w:szCs w:val="28"/>
          <w:lang w:val="uk-UA"/>
        </w:rPr>
        <w:t>Даніїлу</w:t>
      </w:r>
      <w:proofErr w:type="spellEnd"/>
      <w:r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Ярославовичу, 29.03.2004 р.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н. на продаж ½ частини житлового будинку № 90 по вул. </w:t>
      </w:r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Злагоди в с. Малинівка, за умови набуття ½ частини житлового будинку по вул. Злагоди , 88 в с. Малинівка від своєї матері </w:t>
      </w:r>
      <w:proofErr w:type="spellStart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>Гостін</w:t>
      </w:r>
      <w:proofErr w:type="spellEnd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Надії Ген</w:t>
      </w:r>
      <w:r w:rsidR="00A808C3" w:rsidRPr="00F26E82">
        <w:rPr>
          <w:rFonts w:ascii="Times New Roman" w:eastAsia="Times New Roman" w:hAnsi="Times New Roman"/>
          <w:sz w:val="28"/>
          <w:szCs w:val="28"/>
          <w:lang w:val="uk-UA"/>
        </w:rPr>
        <w:t>н</w:t>
      </w:r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>адіївни до 01.01.2022 року.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>Гостін</w:t>
      </w:r>
      <w:proofErr w:type="spellEnd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Д.Я. діє за згодою матері </w:t>
      </w:r>
      <w:proofErr w:type="spellStart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>Гостін</w:t>
      </w:r>
      <w:proofErr w:type="spellEnd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Н.Г.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Договір набуття на ім’я неповнолітнього надати до органу опіки та піклування виконкому </w:t>
      </w:r>
      <w:proofErr w:type="spellStart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>Малинської</w:t>
      </w:r>
      <w:proofErr w:type="spellEnd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міської ради до 01.01.2022 року. Відповідальність за невиконання умов даного дозволу покласти на</w:t>
      </w:r>
      <w:r w:rsidR="00F26E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матір  </w:t>
      </w:r>
      <w:proofErr w:type="spellStart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>Гостін</w:t>
      </w:r>
      <w:proofErr w:type="spellEnd"/>
      <w:r w:rsidR="00E15684"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Н.Г.</w:t>
      </w:r>
    </w:p>
    <w:p w:rsidR="00F26E82" w:rsidRPr="00F26E82" w:rsidRDefault="00800D03" w:rsidP="00F26E8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Повідомити нотаріусів </w:t>
      </w:r>
      <w:proofErr w:type="spellStart"/>
      <w:r w:rsidRPr="00F26E82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Pr="00F26E82"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              </w:t>
      </w:r>
      <w:r w:rsidRPr="00F26E82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800D03" w:rsidRPr="00F26E82" w:rsidRDefault="00800D03" w:rsidP="00F26E8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F26E82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E15684" w:rsidRPr="00F26E82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міського голови Віталія Лукашенка.</w:t>
      </w:r>
    </w:p>
    <w:p w:rsidR="00800D03" w:rsidRDefault="00800D03" w:rsidP="00F26E82">
      <w:pPr>
        <w:spacing w:before="100" w:beforeAutospacing="1" w:after="100" w:afterAutospacing="1" w:line="240" w:lineRule="auto"/>
        <w:ind w:left="360"/>
        <w:contextualSpacing/>
        <w:jc w:val="center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                   </w:t>
      </w:r>
      <w:r w:rsidR="00F26E82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Олександр СИТАЙЛО</w:t>
      </w:r>
    </w:p>
    <w:p w:rsidR="00800D03" w:rsidRDefault="006854D9" w:rsidP="00800D03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</w:t>
      </w:r>
      <w:r w:rsidR="00800D03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800D03">
        <w:rPr>
          <w:rFonts w:ascii="Times New Roman" w:hAnsi="Times New Roman"/>
          <w:sz w:val="24"/>
          <w:szCs w:val="24"/>
          <w:lang w:val="uk-UA"/>
        </w:rPr>
        <w:t xml:space="preserve"> Віталій ЛУКАШЕНКО</w:t>
      </w:r>
    </w:p>
    <w:p w:rsidR="00800D03" w:rsidRDefault="00800D03" w:rsidP="00800D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800D03" w:rsidRDefault="00800D03" w:rsidP="00800D03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800D03" w:rsidRDefault="00800D03" w:rsidP="00800D03"/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D03" w:rsidRPr="00800D03" w:rsidRDefault="00800D03" w:rsidP="00800D0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A51EB" w:rsidRDefault="00AB6093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0374B"/>
    <w:multiLevelType w:val="hybridMultilevel"/>
    <w:tmpl w:val="41B2D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C2798"/>
    <w:multiLevelType w:val="hybridMultilevel"/>
    <w:tmpl w:val="63AE74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A5"/>
    <w:rsid w:val="002100CA"/>
    <w:rsid w:val="00380A29"/>
    <w:rsid w:val="00412208"/>
    <w:rsid w:val="005D04A5"/>
    <w:rsid w:val="006854D9"/>
    <w:rsid w:val="00800D03"/>
    <w:rsid w:val="00A808C3"/>
    <w:rsid w:val="00AB6093"/>
    <w:rsid w:val="00E15684"/>
    <w:rsid w:val="00F2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D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D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2020-12-21T14:45:00Z</cp:lastPrinted>
  <dcterms:created xsi:type="dcterms:W3CDTF">2020-12-09T12:12:00Z</dcterms:created>
  <dcterms:modified xsi:type="dcterms:W3CDTF">2020-12-21T14:45:00Z</dcterms:modified>
</cp:coreProperties>
</file>